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01" w:rsidRPr="009D7201" w:rsidRDefault="009D7201" w:rsidP="009D7201">
      <w:pPr>
        <w:pStyle w:val="Normal1"/>
        <w:tabs>
          <w:tab w:val="left" w:pos="426"/>
        </w:tabs>
        <w:spacing w:after="0" w:line="240" w:lineRule="auto"/>
        <w:ind w:left="4530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9D7201" w:rsidRPr="009D7201" w:rsidRDefault="009D7201" w:rsidP="009D7201">
      <w:pPr>
        <w:pStyle w:val="Normal1"/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к Постановлению Правительства</w:t>
      </w:r>
      <w:r w:rsidRPr="009D7201">
        <w:rPr>
          <w:rFonts w:ascii="Times New Roman" w:hAnsi="Times New Roman" w:cs="Times New Roman"/>
          <w:sz w:val="24"/>
          <w:szCs w:val="24"/>
          <w:lang w:val="ru-RU"/>
        </w:rPr>
        <w:t xml:space="preserve"> №676</w:t>
      </w:r>
    </w:p>
    <w:p w:rsidR="009D7201" w:rsidRPr="009D7201" w:rsidRDefault="009D7201" w:rsidP="009D7201">
      <w:pPr>
        <w:pStyle w:val="Normal1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bookmarkStart w:id="0" w:name="_GoBack"/>
      <w:bookmarkEnd w:id="0"/>
      <w:r w:rsidRPr="009D72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от 29 августа 2017 г.                 </w:t>
      </w:r>
    </w:p>
    <w:p w:rsidR="009D7201" w:rsidRPr="009D7201" w:rsidRDefault="009D7201" w:rsidP="009D7201">
      <w:pPr>
        <w:pStyle w:val="Normal1"/>
        <w:tabs>
          <w:tab w:val="left" w:pos="426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D7201" w:rsidRPr="009D7201" w:rsidRDefault="009D7201" w:rsidP="009D720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ТИПОВАЯ СТРУКТУРА </w:t>
      </w:r>
    </w:p>
    <w:p w:rsidR="009D7201" w:rsidRPr="009D7201" w:rsidRDefault="009D7201" w:rsidP="009D720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b/>
          <w:sz w:val="24"/>
          <w:szCs w:val="24"/>
          <w:lang w:val="ru-RU"/>
        </w:rPr>
        <w:t>отраслевого/местного плана по борьбе с коррупцией на 2018-2020 годы</w:t>
      </w:r>
    </w:p>
    <w:p w:rsidR="009D7201" w:rsidRPr="009D7201" w:rsidRDefault="009D7201" w:rsidP="009D7201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7201" w:rsidRPr="009D7201" w:rsidRDefault="009D7201" w:rsidP="009D720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b/>
          <w:sz w:val="24"/>
          <w:szCs w:val="24"/>
          <w:lang w:val="ru-RU"/>
        </w:rPr>
        <w:t>Инструкция по составлению</w:t>
      </w:r>
    </w:p>
    <w:p w:rsidR="009D7201" w:rsidRPr="009D7201" w:rsidRDefault="009D7201" w:rsidP="009D7201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D7201" w:rsidRPr="009D7201" w:rsidRDefault="009D7201" w:rsidP="009D7201">
      <w:pPr>
        <w:pStyle w:val="Normal1"/>
        <w:numPr>
          <w:ilvl w:val="1"/>
          <w:numId w:val="1"/>
        </w:numPr>
        <w:tabs>
          <w:tab w:val="clear" w:pos="1440"/>
          <w:tab w:val="num" w:pos="426"/>
          <w:tab w:val="num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Описание проблем </w:t>
      </w:r>
    </w:p>
    <w:p w:rsidR="009D7201" w:rsidRPr="009D7201" w:rsidRDefault="009D7201" w:rsidP="009D7201">
      <w:pPr>
        <w:pStyle w:val="Normal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D7201">
        <w:rPr>
          <w:rFonts w:ascii="Times New Roman" w:hAnsi="Times New Roman" w:cs="Times New Roman"/>
          <w:sz w:val="24"/>
          <w:szCs w:val="24"/>
          <w:lang w:val="ru-RU"/>
        </w:rPr>
        <w:t xml:space="preserve">[В этом разделе отраслевого/местного плана действий по борьбе с коррупцией (далее - </w:t>
      </w:r>
      <w:r w:rsidRPr="009D7201">
        <w:rPr>
          <w:rFonts w:ascii="Times New Roman" w:hAnsi="Times New Roman" w:cs="Times New Roman"/>
          <w:i/>
          <w:sz w:val="24"/>
          <w:szCs w:val="24"/>
          <w:lang w:val="ru-RU"/>
        </w:rPr>
        <w:t>План</w:t>
      </w:r>
      <w:r w:rsidRPr="009D7201">
        <w:rPr>
          <w:rFonts w:ascii="Times New Roman" w:hAnsi="Times New Roman" w:cs="Times New Roman"/>
          <w:sz w:val="24"/>
          <w:szCs w:val="24"/>
          <w:lang w:val="ru-RU"/>
        </w:rPr>
        <w:t>) описываются проблемы и слабые стороны на отраслевом/местном уровне, порождающие коррупцию, их причины и влияние на качество услуг и на то, как граждане воспринимают эффективность на отраслевом/местном уровне.</w:t>
      </w:r>
      <w:proofErr w:type="gramEnd"/>
      <w:r w:rsidRPr="009D7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D7201">
        <w:rPr>
          <w:rFonts w:ascii="Times New Roman" w:hAnsi="Times New Roman" w:cs="Times New Roman"/>
          <w:sz w:val="24"/>
          <w:szCs w:val="24"/>
          <w:lang w:val="ru-RU"/>
        </w:rPr>
        <w:t>Объем – до 3 страниц.]</w:t>
      </w:r>
      <w:proofErr w:type="gramEnd"/>
    </w:p>
    <w:p w:rsidR="009D7201" w:rsidRPr="009D7201" w:rsidRDefault="009D7201" w:rsidP="009D7201">
      <w:pPr>
        <w:pStyle w:val="Normal1"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7201" w:rsidRPr="009D7201" w:rsidRDefault="009D7201" w:rsidP="009D7201">
      <w:pPr>
        <w:pStyle w:val="Normal1"/>
        <w:numPr>
          <w:ilvl w:val="1"/>
          <w:numId w:val="1"/>
        </w:numPr>
        <w:tabs>
          <w:tab w:val="clear" w:pos="1440"/>
          <w:tab w:val="num" w:pos="567"/>
          <w:tab w:val="num" w:pos="1134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b/>
          <w:sz w:val="24"/>
          <w:szCs w:val="24"/>
          <w:lang w:val="ru-RU"/>
        </w:rPr>
        <w:t>Задача на отраслевом/местном уровне</w:t>
      </w:r>
    </w:p>
    <w:p w:rsidR="009D7201" w:rsidRPr="009D7201" w:rsidRDefault="009D7201" w:rsidP="009D7201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7201">
        <w:rPr>
          <w:rFonts w:ascii="Times New Roman" w:hAnsi="Times New Roman" w:cs="Times New Roman"/>
          <w:sz w:val="24"/>
          <w:szCs w:val="24"/>
          <w:lang w:val="ru-RU"/>
        </w:rPr>
        <w:t>[Задачей на отраслевом/местном уровне является главная цель, которая должна быть сформулирована таким образом, чтобы передать изменения, которые произойдут на отраслевом/местном уровне вследствие реализации Плана.</w:t>
      </w:r>
      <w:proofErr w:type="gramEnd"/>
      <w:r w:rsidRPr="009D7201">
        <w:rPr>
          <w:rFonts w:ascii="Times New Roman" w:hAnsi="Times New Roman" w:cs="Times New Roman"/>
          <w:sz w:val="24"/>
          <w:szCs w:val="24"/>
          <w:lang w:val="ru-RU"/>
        </w:rPr>
        <w:t xml:space="preserve"> Задача на отраслевом/местном уровне должна охватывать все приоритеты, установленные в Плане, и должна соответствовать задаче  опоры II Национальной стратегии по неподкупности и борьбе с коррупцией на 2017-2020 годы. </w:t>
      </w:r>
      <w:proofErr w:type="gramStart"/>
      <w:r w:rsidRPr="009D7201">
        <w:rPr>
          <w:rFonts w:ascii="Times New Roman" w:hAnsi="Times New Roman" w:cs="Times New Roman"/>
          <w:sz w:val="24"/>
          <w:szCs w:val="24"/>
          <w:lang w:val="ru-RU"/>
        </w:rPr>
        <w:t>Объем – 1 абзац.]</w:t>
      </w:r>
      <w:proofErr w:type="gramEnd"/>
    </w:p>
    <w:p w:rsidR="009D7201" w:rsidRPr="009D7201" w:rsidRDefault="009D7201" w:rsidP="009D7201">
      <w:pPr>
        <w:pStyle w:val="Normal1"/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7201" w:rsidRPr="009D7201" w:rsidRDefault="009D7201" w:rsidP="009D7201">
      <w:pPr>
        <w:pStyle w:val="Normal1"/>
        <w:numPr>
          <w:ilvl w:val="1"/>
          <w:numId w:val="1"/>
        </w:numPr>
        <w:tabs>
          <w:tab w:val="num" w:pos="709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b/>
          <w:sz w:val="24"/>
          <w:szCs w:val="24"/>
          <w:lang w:val="ru-RU"/>
        </w:rPr>
        <w:t>Отраслевой/местный план действий</w:t>
      </w:r>
    </w:p>
    <w:p w:rsidR="009D7201" w:rsidRPr="009D7201" w:rsidRDefault="009D7201" w:rsidP="009D7201">
      <w:pPr>
        <w:pStyle w:val="Normal1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0"/>
        <w:gridCol w:w="1440"/>
        <w:gridCol w:w="1620"/>
        <w:gridCol w:w="1274"/>
        <w:gridCol w:w="1134"/>
        <w:gridCol w:w="1134"/>
        <w:gridCol w:w="1318"/>
      </w:tblGrid>
      <w:tr w:rsidR="009D7201" w:rsidRPr="009D7201" w:rsidTr="00016BD6">
        <w:trPr>
          <w:trHeight w:val="572"/>
          <w:tblHeader/>
        </w:trPr>
        <w:tc>
          <w:tcPr>
            <w:tcW w:w="9540" w:type="dxa"/>
            <w:gridSpan w:val="8"/>
            <w:shd w:val="clear" w:color="auto" w:fill="CCECFF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Приоритет 1 на отраслевом/местном уровне:</w:t>
            </w:r>
            <w:r w:rsidRPr="009D72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7201">
              <w:rPr>
                <w:rFonts w:ascii="Times New Roman" w:hAnsi="Times New Roman"/>
                <w:sz w:val="24"/>
                <w:szCs w:val="24"/>
              </w:rPr>
              <w:t>[название приоритета]</w:t>
            </w:r>
          </w:p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9D7201">
              <w:rPr>
                <w:rFonts w:ascii="Times New Roman" w:hAnsi="Times New Roman"/>
                <w:sz w:val="24"/>
                <w:szCs w:val="24"/>
              </w:rPr>
              <w:t>В этом разделе должны быть сформулированы от 2-х до 5-ти приоритетов на отраслевом</w:t>
            </w: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D7201">
              <w:rPr>
                <w:rFonts w:ascii="Times New Roman" w:hAnsi="Times New Roman"/>
                <w:sz w:val="24"/>
                <w:szCs w:val="24"/>
              </w:rPr>
              <w:t>местном уровне для преодоления проблем, выявленных в разделе I, выполнение которых будет способствовать решению задачи на отраслевом/местном уровне</w:t>
            </w: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результаты: [</w:t>
            </w:r>
            <w:r w:rsidRPr="009D7201">
              <w:rPr>
                <w:rFonts w:ascii="Times New Roman" w:hAnsi="Times New Roman"/>
                <w:sz w:val="24"/>
                <w:szCs w:val="24"/>
              </w:rPr>
              <w:t>Ожидаемые результаты определяют изменения, которые должны произойти на отраслевом</w:t>
            </w: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D7201">
              <w:rPr>
                <w:rFonts w:ascii="Times New Roman" w:hAnsi="Times New Roman"/>
                <w:sz w:val="24"/>
                <w:szCs w:val="24"/>
              </w:rPr>
              <w:t>местном уровне вследствие реализации приоритетов, и их влияние.</w:t>
            </w: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9D7201" w:rsidRPr="009D7201" w:rsidRDefault="009D7201" w:rsidP="009D720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ожидаемый результат 1 вследствие реализации приоритета 1</w:t>
            </w:r>
          </w:p>
          <w:p w:rsidR="009D7201" w:rsidRPr="009D7201" w:rsidRDefault="009D7201" w:rsidP="009D720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ожидаемый результат 2 вследствие реализации приоритета 1</w:t>
            </w:r>
          </w:p>
          <w:p w:rsidR="009D7201" w:rsidRPr="009D7201" w:rsidRDefault="009D7201" w:rsidP="009D720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ожидаемый результат 3 вследствие реализации приоритета 1</w:t>
            </w:r>
          </w:p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01" w:rsidRPr="009D7201" w:rsidTr="00016BD6">
        <w:trPr>
          <w:tblHeader/>
        </w:trPr>
        <w:tc>
          <w:tcPr>
            <w:tcW w:w="540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proofErr w:type="gramStart"/>
            <w:r w:rsidRPr="009D72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20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ind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Ответственные учреждения</w:t>
            </w:r>
            <w:proofErr w:type="gramStart"/>
            <w:r w:rsidRPr="009D72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Показатели прогресса</w:t>
            </w:r>
            <w:r w:rsidRPr="009D72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Источник проверки</w:t>
            </w:r>
            <w:proofErr w:type="gramStart"/>
            <w:r w:rsidRPr="009D72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Соответствующая задача</w:t>
            </w:r>
            <w:r w:rsidRPr="009D72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  <w:proofErr w:type="gramStart"/>
            <w:r w:rsidRPr="009D72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9D7201" w:rsidRPr="009D7201" w:rsidTr="00016BD6">
        <w:trPr>
          <w:tblHeader/>
        </w:trPr>
        <w:tc>
          <w:tcPr>
            <w:tcW w:w="54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01" w:rsidRPr="009D7201" w:rsidTr="00016BD6">
        <w:trPr>
          <w:tblHeader/>
        </w:trPr>
        <w:tc>
          <w:tcPr>
            <w:tcW w:w="54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01" w:rsidRPr="009D7201" w:rsidTr="00016BD6">
        <w:trPr>
          <w:tblHeader/>
        </w:trPr>
        <w:tc>
          <w:tcPr>
            <w:tcW w:w="54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20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D7201" w:rsidRPr="009D7201" w:rsidRDefault="009D7201" w:rsidP="0001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7201" w:rsidRPr="009D7201" w:rsidRDefault="009D7201" w:rsidP="009D7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201" w:rsidRPr="009D7201" w:rsidRDefault="009D7201" w:rsidP="009D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201">
        <w:rPr>
          <w:rFonts w:ascii="Times New Roman" w:hAnsi="Times New Roman"/>
          <w:sz w:val="24"/>
          <w:szCs w:val="24"/>
        </w:rPr>
        <w:t>[</w:t>
      </w:r>
      <w:r w:rsidRPr="009D720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9D7201">
        <w:rPr>
          <w:rFonts w:ascii="Times New Roman" w:hAnsi="Times New Roman"/>
          <w:i/>
          <w:sz w:val="24"/>
          <w:szCs w:val="24"/>
        </w:rPr>
        <w:t>Срок выполнения</w:t>
      </w:r>
      <w:r w:rsidRPr="009D7201">
        <w:rPr>
          <w:rFonts w:ascii="Times New Roman" w:hAnsi="Times New Roman"/>
          <w:sz w:val="24"/>
          <w:szCs w:val="24"/>
        </w:rPr>
        <w:t xml:space="preserve"> – фиксируется посредством указания ограниченного периода, в течение которого должно быть выполнено действие (например: квартал, месяц или число и год).</w:t>
      </w:r>
      <w:proofErr w:type="gramEnd"/>
      <w:r w:rsidRPr="009D7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201">
        <w:rPr>
          <w:rFonts w:ascii="Times New Roman" w:hAnsi="Times New Roman"/>
          <w:sz w:val="24"/>
          <w:szCs w:val="24"/>
        </w:rPr>
        <w:t xml:space="preserve">В случае действий, которые предполагают постоянное </w:t>
      </w:r>
      <w:r w:rsidRPr="009D7201">
        <w:rPr>
          <w:rFonts w:ascii="Times New Roman" w:hAnsi="Times New Roman"/>
          <w:sz w:val="24"/>
          <w:szCs w:val="24"/>
        </w:rPr>
        <w:lastRenderedPageBreak/>
        <w:t>выполнение, указывается период проверки их выполнения (например: постоянно, с квартальной, полугодовой или годовой проверкой.</w:t>
      </w:r>
      <w:proofErr w:type="gramEnd"/>
      <w:r w:rsidRPr="009D7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201">
        <w:rPr>
          <w:rFonts w:ascii="Times New Roman" w:hAnsi="Times New Roman"/>
          <w:sz w:val="24"/>
          <w:szCs w:val="24"/>
        </w:rPr>
        <w:t xml:space="preserve">Можно указать и точное число каждого месяца/квартала и т.д., до которого должны быть выполнены проверки). </w:t>
      </w:r>
      <w:proofErr w:type="gramEnd"/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201" w:rsidRPr="009D7201" w:rsidRDefault="009D7201" w:rsidP="009D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20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D7201">
        <w:rPr>
          <w:rFonts w:ascii="Times New Roman" w:hAnsi="Times New Roman"/>
          <w:i/>
          <w:sz w:val="24"/>
          <w:szCs w:val="24"/>
        </w:rPr>
        <w:t xml:space="preserve">Ответственные учреждения </w:t>
      </w:r>
      <w:r w:rsidRPr="009D7201">
        <w:rPr>
          <w:rFonts w:ascii="Times New Roman" w:hAnsi="Times New Roman"/>
          <w:sz w:val="24"/>
          <w:szCs w:val="24"/>
        </w:rPr>
        <w:t xml:space="preserve">– указывается наименование учреждений, на которых возложены  задачи по осуществлению мер, необходимых для выполнения действия. В случае, когда указывается более одного ответственного учреждения, в конце в скобках указывается тип ответственности этих учреждений следующим образом: </w:t>
      </w:r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201">
        <w:rPr>
          <w:rFonts w:ascii="Times New Roman" w:hAnsi="Times New Roman"/>
          <w:b/>
          <w:sz w:val="24"/>
          <w:szCs w:val="24"/>
        </w:rPr>
        <w:t xml:space="preserve">              - общая ответственность</w:t>
      </w:r>
      <w:r w:rsidRPr="009D7201">
        <w:rPr>
          <w:rFonts w:ascii="Times New Roman" w:hAnsi="Times New Roman"/>
          <w:sz w:val="24"/>
          <w:szCs w:val="24"/>
        </w:rPr>
        <w:t xml:space="preserve"> – все указанные учреждения способствуют выполнению одного и того же действия (например: разработка отраслевого положения), при этом достаточно, чтобы только первое/одно из ответственных учреждений отчиталось относительно прогресса; </w:t>
      </w:r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201">
        <w:rPr>
          <w:rFonts w:ascii="Times New Roman" w:hAnsi="Times New Roman"/>
          <w:b/>
          <w:sz w:val="24"/>
          <w:szCs w:val="24"/>
        </w:rPr>
        <w:t xml:space="preserve">              - последовательная ответственность </w:t>
      </w:r>
      <w:r w:rsidRPr="009D7201">
        <w:rPr>
          <w:rFonts w:ascii="Times New Roman" w:hAnsi="Times New Roman"/>
          <w:sz w:val="24"/>
          <w:szCs w:val="24"/>
        </w:rPr>
        <w:t xml:space="preserve">– каждому ответственному учреждению отведен сегмент действия, при этом прогресс каждого учреждения является определяющим для следующих учреждений. </w:t>
      </w:r>
      <w:proofErr w:type="gramStart"/>
      <w:r w:rsidRPr="009D7201">
        <w:rPr>
          <w:rFonts w:ascii="Times New Roman" w:hAnsi="Times New Roman"/>
          <w:sz w:val="24"/>
          <w:szCs w:val="24"/>
        </w:rPr>
        <w:t>В дальнейшем ответственные учреждения отчитываются относительно прогресса в выполнении действия в последовательном порядке, согласно отведенной роли, а в случае его невыполнения, задолженность будет возложена на учреждение, прервавшее процесс (например: если предусматривается введение определенного механизма предупреждения злоупотреблений для децентрализованных служб на основании положения, утвержденного центральным органом, невыполнение механизма децентрализованными службами не может быть отнесено к задолженности этих ответственных учреждений, если центральный</w:t>
      </w:r>
      <w:proofErr w:type="gramEnd"/>
      <w:r w:rsidRPr="009D7201">
        <w:rPr>
          <w:rFonts w:ascii="Times New Roman" w:hAnsi="Times New Roman"/>
          <w:sz w:val="24"/>
          <w:szCs w:val="24"/>
        </w:rPr>
        <w:t xml:space="preserve"> орган не утвердил положения);</w:t>
      </w:r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201">
        <w:rPr>
          <w:rFonts w:ascii="Times New Roman" w:hAnsi="Times New Roman"/>
          <w:b/>
          <w:sz w:val="24"/>
          <w:szCs w:val="24"/>
        </w:rPr>
        <w:t xml:space="preserve">              - одновременная ответственность </w:t>
      </w:r>
      <w:r w:rsidRPr="009D7201">
        <w:rPr>
          <w:rFonts w:ascii="Times New Roman" w:hAnsi="Times New Roman"/>
          <w:sz w:val="24"/>
          <w:szCs w:val="24"/>
        </w:rPr>
        <w:t xml:space="preserve">– все указанные ответственные учреждения будут выполнять то же действие (например: </w:t>
      </w:r>
      <w:proofErr w:type="gramStart"/>
      <w:r w:rsidRPr="009D7201">
        <w:rPr>
          <w:rFonts w:ascii="Times New Roman" w:hAnsi="Times New Roman"/>
          <w:sz w:val="24"/>
          <w:szCs w:val="24"/>
        </w:rPr>
        <w:t>обучение сотрудников по</w:t>
      </w:r>
      <w:proofErr w:type="gramEnd"/>
      <w:r w:rsidRPr="009D7201">
        <w:rPr>
          <w:rFonts w:ascii="Times New Roman" w:hAnsi="Times New Roman"/>
          <w:sz w:val="24"/>
          <w:szCs w:val="24"/>
        </w:rPr>
        <w:t xml:space="preserve"> отраслевому положению), затем все учреждения должны будут отдельно отчитаться о выполнении действия.</w:t>
      </w:r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201" w:rsidRPr="009D7201" w:rsidRDefault="009D7201" w:rsidP="009D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201">
        <w:rPr>
          <w:rFonts w:ascii="Times New Roman" w:hAnsi="Times New Roman"/>
          <w:sz w:val="24"/>
          <w:szCs w:val="24"/>
          <w:vertAlign w:val="superscript"/>
        </w:rPr>
        <w:t>3</w:t>
      </w:r>
      <w:r w:rsidRPr="009D7201">
        <w:rPr>
          <w:rFonts w:ascii="Times New Roman" w:hAnsi="Times New Roman"/>
          <w:sz w:val="24"/>
          <w:szCs w:val="24"/>
        </w:rPr>
        <w:t xml:space="preserve"> </w:t>
      </w:r>
      <w:r w:rsidRPr="009D7201">
        <w:rPr>
          <w:rFonts w:ascii="Times New Roman" w:hAnsi="Times New Roman"/>
          <w:i/>
          <w:sz w:val="24"/>
          <w:szCs w:val="24"/>
        </w:rPr>
        <w:t>Показатели прогресса</w:t>
      </w:r>
      <w:r w:rsidRPr="009D7201">
        <w:rPr>
          <w:rFonts w:ascii="Times New Roman" w:hAnsi="Times New Roman"/>
          <w:sz w:val="24"/>
          <w:szCs w:val="24"/>
        </w:rPr>
        <w:t xml:space="preserve"> – показатели, которые подтверждают выполнение действия (например: утвержденное и опубликованное на </w:t>
      </w:r>
      <w:proofErr w:type="gramStart"/>
      <w:r w:rsidRPr="009D7201">
        <w:rPr>
          <w:rFonts w:ascii="Times New Roman" w:hAnsi="Times New Roman"/>
          <w:sz w:val="24"/>
          <w:szCs w:val="24"/>
        </w:rPr>
        <w:t>официальной</w:t>
      </w:r>
      <w:proofErr w:type="gramEnd"/>
      <w:r w:rsidRPr="009D7201">
        <w:rPr>
          <w:rFonts w:ascii="Times New Roman" w:hAnsi="Times New Roman"/>
          <w:sz w:val="24"/>
          <w:szCs w:val="24"/>
        </w:rPr>
        <w:t xml:space="preserve"> веб-странице министерства положение; проведенное для 500 сотрудников учебное мероприятие; проведенное учебное мероприятие для сотрудников 35 учреждений, находящихся в подчинении министерства и т.д.)</w:t>
      </w:r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201" w:rsidRPr="009D7201" w:rsidRDefault="009D7201" w:rsidP="009D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201">
        <w:rPr>
          <w:rFonts w:ascii="Times New Roman" w:hAnsi="Times New Roman"/>
          <w:sz w:val="24"/>
          <w:szCs w:val="24"/>
          <w:vertAlign w:val="superscript"/>
        </w:rPr>
        <w:t>4</w:t>
      </w:r>
      <w:r w:rsidRPr="009D7201">
        <w:rPr>
          <w:rFonts w:ascii="Times New Roman" w:hAnsi="Times New Roman"/>
          <w:sz w:val="24"/>
          <w:szCs w:val="24"/>
        </w:rPr>
        <w:t xml:space="preserve"> </w:t>
      </w:r>
      <w:r w:rsidRPr="009D7201">
        <w:rPr>
          <w:rFonts w:ascii="Times New Roman" w:hAnsi="Times New Roman"/>
          <w:i/>
          <w:sz w:val="24"/>
          <w:szCs w:val="24"/>
        </w:rPr>
        <w:t>Источник проверки</w:t>
      </w:r>
      <w:r w:rsidRPr="009D7201">
        <w:rPr>
          <w:rFonts w:ascii="Times New Roman" w:hAnsi="Times New Roman"/>
          <w:sz w:val="24"/>
          <w:szCs w:val="24"/>
        </w:rPr>
        <w:t xml:space="preserve"> – способ, которым может быть получено подтверждение показателей прогресса (например: официальная веб-страница министерства; Официальный монитор Республики Молдова; программа и список участников учебного мероприятия и т.д.)</w:t>
      </w:r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201" w:rsidRPr="009D7201" w:rsidRDefault="009D7201" w:rsidP="009D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201">
        <w:rPr>
          <w:rFonts w:ascii="Times New Roman" w:hAnsi="Times New Roman"/>
          <w:sz w:val="24"/>
          <w:szCs w:val="24"/>
          <w:vertAlign w:val="superscript"/>
        </w:rPr>
        <w:t>5</w:t>
      </w:r>
      <w:r w:rsidRPr="009D7201">
        <w:rPr>
          <w:rFonts w:ascii="Times New Roman" w:hAnsi="Times New Roman"/>
          <w:sz w:val="24"/>
          <w:szCs w:val="24"/>
        </w:rPr>
        <w:t xml:space="preserve"> </w:t>
      </w:r>
      <w:r w:rsidRPr="009D7201">
        <w:rPr>
          <w:rFonts w:ascii="Times New Roman" w:hAnsi="Times New Roman"/>
          <w:i/>
          <w:sz w:val="24"/>
          <w:szCs w:val="24"/>
        </w:rPr>
        <w:t xml:space="preserve">Соответствующая задача </w:t>
      </w:r>
      <w:r w:rsidRPr="009D7201">
        <w:rPr>
          <w:rFonts w:ascii="Times New Roman" w:hAnsi="Times New Roman"/>
          <w:sz w:val="24"/>
          <w:szCs w:val="24"/>
        </w:rPr>
        <w:t>– указывается краткое название одной из общих задач Национальной стратегии по неподкупности и борьбе с коррупцией на 2017-2020 годы (сдерживание/возмещение/этика/защита/прозрачность/обучение), реализации которой способствует действие Плана.</w:t>
      </w:r>
    </w:p>
    <w:p w:rsidR="009D7201" w:rsidRPr="009D7201" w:rsidRDefault="009D7201" w:rsidP="009D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201" w:rsidRPr="009D7201" w:rsidRDefault="009D7201" w:rsidP="009D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201">
        <w:rPr>
          <w:rFonts w:ascii="Times New Roman" w:hAnsi="Times New Roman"/>
          <w:sz w:val="24"/>
          <w:szCs w:val="24"/>
          <w:vertAlign w:val="superscript"/>
        </w:rPr>
        <w:t>6</w:t>
      </w:r>
      <w:r w:rsidRPr="009D7201">
        <w:rPr>
          <w:rFonts w:ascii="Times New Roman" w:hAnsi="Times New Roman"/>
          <w:sz w:val="24"/>
          <w:szCs w:val="24"/>
        </w:rPr>
        <w:t xml:space="preserve"> </w:t>
      </w:r>
      <w:r w:rsidRPr="009D7201">
        <w:rPr>
          <w:rFonts w:ascii="Times New Roman" w:hAnsi="Times New Roman"/>
          <w:i/>
          <w:sz w:val="24"/>
          <w:szCs w:val="24"/>
        </w:rPr>
        <w:t>Источник финансирования</w:t>
      </w:r>
      <w:r w:rsidRPr="009D7201">
        <w:rPr>
          <w:rFonts w:ascii="Times New Roman" w:hAnsi="Times New Roman"/>
          <w:sz w:val="24"/>
          <w:szCs w:val="24"/>
        </w:rPr>
        <w:t xml:space="preserve"> – указывается один из следующих источников: „бюджетные средства” или „внешние доступные источники финансирования”.]</w:t>
      </w:r>
      <w:proofErr w:type="gramEnd"/>
    </w:p>
    <w:p w:rsidR="009D7201" w:rsidRPr="009D7201" w:rsidRDefault="009D7201" w:rsidP="009D7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201" w:rsidRPr="009D7201" w:rsidRDefault="009D7201" w:rsidP="009D7201">
      <w:pPr>
        <w:pStyle w:val="Normal1"/>
        <w:numPr>
          <w:ilvl w:val="1"/>
          <w:numId w:val="1"/>
        </w:numPr>
        <w:tabs>
          <w:tab w:val="clear" w:pos="1440"/>
          <w:tab w:val="num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201">
        <w:rPr>
          <w:rFonts w:ascii="Times New Roman" w:hAnsi="Times New Roman" w:cs="Times New Roman"/>
          <w:b/>
          <w:sz w:val="24"/>
          <w:szCs w:val="24"/>
          <w:lang w:val="ru-RU"/>
        </w:rPr>
        <w:t>Мониторинг и отчетность на отраслевом/местном уровне</w:t>
      </w:r>
    </w:p>
    <w:p w:rsidR="009D7201" w:rsidRPr="009D7201" w:rsidRDefault="009D7201" w:rsidP="009D7201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7201">
        <w:rPr>
          <w:rFonts w:ascii="Times New Roman" w:hAnsi="Times New Roman" w:cs="Times New Roman"/>
          <w:sz w:val="24"/>
          <w:szCs w:val="24"/>
          <w:lang w:val="ru-RU"/>
        </w:rPr>
        <w:lastRenderedPageBreak/>
        <w:t>[В этом разделе устанавливается главный орган, ответственный на отраслевом/местном уровне, срок и порядок, в котором указанные в Плане ответственные органы отчитываются относительно прогресса в выполнении действий и показателей данного органа, а также способ передачи информации в целях составления им квартального отчета о выполнении Плана.</w:t>
      </w:r>
      <w:proofErr w:type="gramEnd"/>
      <w:r w:rsidRPr="009D7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D7201">
        <w:rPr>
          <w:rFonts w:ascii="Times New Roman" w:hAnsi="Times New Roman" w:cs="Times New Roman"/>
          <w:sz w:val="24"/>
          <w:szCs w:val="24"/>
          <w:lang w:val="ru-RU"/>
        </w:rPr>
        <w:t>Объем – до 1 страницы.]</w:t>
      </w:r>
      <w:proofErr w:type="gramEnd"/>
    </w:p>
    <w:p w:rsidR="009D7201" w:rsidRPr="009D7201" w:rsidRDefault="009D7201">
      <w:pPr>
        <w:rPr>
          <w:rFonts w:ascii="Times New Roman" w:hAnsi="Times New Roman"/>
          <w:sz w:val="24"/>
          <w:szCs w:val="24"/>
        </w:rPr>
      </w:pPr>
    </w:p>
    <w:sectPr w:rsidR="009D7201" w:rsidRPr="009D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B65"/>
    <w:multiLevelType w:val="hybridMultilevel"/>
    <w:tmpl w:val="DCF64BE4"/>
    <w:lvl w:ilvl="0" w:tplc="430EE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D2C77"/>
    <w:multiLevelType w:val="hybridMultilevel"/>
    <w:tmpl w:val="849026CC"/>
    <w:lvl w:ilvl="0" w:tplc="E9BA2A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EA6A784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01"/>
    <w:rsid w:val="009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0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9D7201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0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9D7201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2017-09-14T06:39:00Z</dcterms:created>
  <dcterms:modified xsi:type="dcterms:W3CDTF">2017-09-14T06:40:00Z</dcterms:modified>
</cp:coreProperties>
</file>